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28</w:t>
      </w:r>
    </w:p>
    <w:p>
      <w:r>
        <w:t>Bundesgericht (BGE), 1985-01-11, DE</w:t>
      </w:r>
    </w:p>
    <w:p>
      <w:r>
        <w:rPr>
          <w:b/>
        </w:rPr>
        <w:t xml:space="preserve">Quelle: </w:t>
      </w:r>
      <w:r>
        <w:t>https://mcp.opencaselaw.ch/entscheid/bge_111 IV 28</w:t>
      </w:r>
    </w:p>
    <w:p>
      <w:r>
        <w:t>FR: ATF 111 IV 28</w:t>
      </w:r>
    </w:p>
    <w:p>
      <w:r>
        <w:t>IT: DTF 111 IV 28</w:t>
      </w:r>
    </w:p>
    <w:p>
      <w:pPr>
        <w:pStyle w:val="Heading2"/>
      </w:pPr>
      <w:r>
        <w:t>Regeste</w:t>
      </w:r>
    </w:p>
    <w:p>
      <w:r>
        <w:t>Regeste Art. 19 Ziff. 1 Abs. 7 BetmG. Begriff der "Finanzierung". Unter diese Bestimmung fällt auch die Gewährung eines Darlehens, wenn dessen Verwendung für Kokainbeschaffung zumindest in Kauf genommen wird.</w:t>
      </w:r>
    </w:p>
    <w:p>
      <w:pPr>
        <w:pStyle w:val="Heading2"/>
      </w:pPr>
      <w:r>
        <w:t>Erwägungen</w:t>
      </w:r>
    </w:p>
    <w:p>
      <w:r>
        <w:rPr>
          <w:b/>
        </w:rPr>
        <w:t>E. 4</w:t>
      </w:r>
    </w:p>
    <w:p>
      <w:r>
        <w:t>Der einzige Einwand, der rechtlicher Natur und daher in diesem Verfahren zulässig ist, bezieht sich auf die Auslegung des Begriffes "Finanzierung" bzw. "finanziert" in Art. 19 Ziff. 1 Abs. 7 BetmG . BGE 111 IV 28 S. 30 a) Den unerlaubten Verkehr mit Betäubungsmitteln finanziert, wer die notwendigen finanziellen Mittel für die Beschaffung, den Transport oder den Absatz von Betäubungsmitteln zur Verfügung stellt. Dies wird in der Regel vorsätzlich - in Kenntnis des Verwendungszwecks - oder eventualvorsätzlich - unter Inkaufnahme der als wahrscheinlich erkannten Verwendungsmöglichkeit - erfolgen. Aber auch schon die fahrlässige Begehung vermag gemäss Art. 19 Ziff. 3 BetmG die Strafbarkeit zu begründen. b) In der Beschwerdeschrift wird eine Einschränkung des Begriffs der Finanzierung auf jene Fälle postuliert, in welchen der Geldgeber über den Verwendungszweck genau informiert und am Risiko direkt beteiligt ist. Strafbare Finanzierung läge nach dieser These nur vor, wenn der Geldgeber nicht nur finanzielle Mittel zur Verfügung stellt, sondern am finanzierten Unternehmen direkt beteiligt ist. Eine solche Einschränkung des Begriffs der Finanzierung lässt sich weder aus dem Wortlaut des Gesetzes noch aus der ratio legis ableiten. Damit würden zudem schwierige Abgrenzungs- und Beweisprobleme geschaffen. Der Gesetzgeber will jedoch - gleich wie alle andern Helfer- und Vorbereitungshandlungen - auch die für den Betäubungsmittelhandel besonders wichtige Bereitstellung oder Vermittlung des notwendigen Geldes durch Art. 19 Ziff. 1 Abs. 7 BetmG strafrechtlich erfassen. Eine Einschränkung des Begriffes "Finanzierung", welche die in Kenntnis des Verwendungszwecks erfolgende blosse Darlehensgewährung von der Strafbarkeit ausschliessen und den Nachweis einer intensiveren Beteiligung ("Teilhaberschaft", Risikotragung) voraussetzen würde, stände im Widerspruch zu Sinn und Zweck des Betäubungsmittelgesetzes. Jeder Geldgeber, der weiss oder zumindest in Kauf nimmt, dass er mit seinem Darlehen, seiner Beteiligung oder seinem Geschenk den Betäubungsmittelhandel ermöglicht, macht sich der vorsätzlichen Widerhandlung im Sinne von Art. 19 Ziff. 1 Abs. 7 BetmG schuldig. Weder kriminalpolitische noch rechtsstaatliche Überlegungen vermögen eine restriktivere Interpretation der bewusst weitgefassten Strafnorm zu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